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E86B" w14:textId="27EC4AD8" w:rsidR="00323A68" w:rsidRPr="007F4677" w:rsidRDefault="00F41590" w:rsidP="00084B7B">
      <w:pPr>
        <w:spacing w:before="32" w:line="288" w:lineRule="exact"/>
        <w:jc w:val="center"/>
        <w:rPr>
          <w:b/>
          <w:sz w:val="24"/>
          <w:lang w:val="es-ES"/>
        </w:rPr>
      </w:pPr>
      <w:r w:rsidRPr="007F4677">
        <w:rPr>
          <w:b/>
          <w:color w:val="7E7E7E"/>
          <w:sz w:val="24"/>
          <w:lang w:val="es-ES"/>
        </w:rPr>
        <w:t>SUBSIDIO DE MEJORA EMPRESARIAL 2023</w:t>
      </w:r>
      <w:r w:rsidRPr="007F4677">
        <w:rPr>
          <w:b/>
          <w:color w:val="7E7E7E"/>
          <w:sz w:val="24"/>
          <w:lang w:val="es-ES"/>
        </w:rPr>
        <w:t xml:space="preserve"> </w:t>
      </w:r>
      <w:r w:rsidR="00CB0BB4" w:rsidRPr="007F4677">
        <w:rPr>
          <w:b/>
          <w:color w:val="7E7E7E"/>
          <w:sz w:val="24"/>
          <w:lang w:val="es-ES"/>
        </w:rPr>
        <w:t>(BIG)</w:t>
      </w:r>
    </w:p>
    <w:p w14:paraId="4284F4DD" w14:textId="651BB236" w:rsidR="002A02C7" w:rsidRPr="007F4677" w:rsidRDefault="00F41590" w:rsidP="002223F7">
      <w:pPr>
        <w:jc w:val="center"/>
        <w:rPr>
          <w:b/>
          <w:sz w:val="32"/>
          <w:szCs w:val="32"/>
          <w:lang w:val="es-ES"/>
        </w:rPr>
      </w:pPr>
      <w:r w:rsidRPr="007F4677">
        <w:rPr>
          <w:b/>
          <w:sz w:val="32"/>
          <w:szCs w:val="32"/>
          <w:lang w:val="es-ES"/>
        </w:rPr>
        <w:t>Requisitos e información</w:t>
      </w:r>
    </w:p>
    <w:p w14:paraId="7290B321" w14:textId="77777777" w:rsidR="00F41590" w:rsidRPr="007F4677" w:rsidRDefault="00F41590" w:rsidP="002223F7">
      <w:pPr>
        <w:jc w:val="center"/>
        <w:rPr>
          <w:b/>
          <w:color w:val="FF0000"/>
          <w:lang w:val="es-ES"/>
        </w:rPr>
      </w:pPr>
    </w:p>
    <w:p w14:paraId="3B9DCEFD" w14:textId="3D572828" w:rsidR="002A02C7" w:rsidRPr="007F4677" w:rsidRDefault="00F41590" w:rsidP="00F41590">
      <w:pPr>
        <w:jc w:val="center"/>
        <w:rPr>
          <w:b/>
          <w:sz w:val="20"/>
          <w:szCs w:val="20"/>
          <w:lang w:val="es-ES"/>
        </w:rPr>
      </w:pPr>
      <w:r w:rsidRPr="007F4677">
        <w:rPr>
          <w:b/>
          <w:color w:val="FF0000"/>
          <w:sz w:val="24"/>
          <w:szCs w:val="24"/>
          <w:lang w:val="es-ES"/>
        </w:rPr>
        <w:t>El proyecto debe iniciarse dentro de los 4 meses posteriores a la aprobación de la subvención. Si el proyecto no se inicia, los fondos se entregarán al siguiente negocio en la lista de espera.</w:t>
      </w:r>
    </w:p>
    <w:p w14:paraId="05E5964F" w14:textId="77777777" w:rsidR="002A02C7" w:rsidRPr="007F4677" w:rsidRDefault="002A02C7" w:rsidP="002223F7">
      <w:pPr>
        <w:rPr>
          <w:b/>
          <w:sz w:val="20"/>
          <w:szCs w:val="20"/>
          <w:lang w:val="es-ES"/>
        </w:rPr>
      </w:pPr>
    </w:p>
    <w:p w14:paraId="2F1ECB18" w14:textId="76617241" w:rsidR="00323A68" w:rsidRPr="007F4677" w:rsidRDefault="00F41590" w:rsidP="002223F7">
      <w:pPr>
        <w:rPr>
          <w:b/>
          <w:lang w:val="es-ES"/>
        </w:rPr>
      </w:pPr>
      <w:r w:rsidRPr="007F4677">
        <w:rPr>
          <w:b/>
          <w:lang w:val="es-ES"/>
        </w:rPr>
        <w:t>Los solicitantes deben ser:</w:t>
      </w:r>
    </w:p>
    <w:p w14:paraId="3F6DFD12" w14:textId="77777777" w:rsidR="00F41590" w:rsidRPr="007F4677" w:rsidRDefault="00F41590" w:rsidP="00863078">
      <w:pPr>
        <w:pStyle w:val="Heading1"/>
        <w:spacing w:before="183"/>
        <w:ind w:left="360"/>
        <w:rPr>
          <w:b w:val="0"/>
          <w:bCs w:val="0"/>
          <w:lang w:val="es-ES"/>
        </w:rPr>
      </w:pPr>
      <w:r w:rsidRPr="007F4677">
        <w:rPr>
          <w:rFonts w:ascii="Apple Color Emoji" w:hAnsi="Apple Color Emoji" w:cs="Apple Color Emoji"/>
          <w:b w:val="0"/>
          <w:bCs w:val="0"/>
          <w:lang w:val="es-ES"/>
        </w:rPr>
        <w:t>◻</w:t>
      </w:r>
      <w:r w:rsidRPr="007F4677">
        <w:rPr>
          <w:b w:val="0"/>
          <w:bCs w:val="0"/>
          <w:lang w:val="es-ES"/>
        </w:rPr>
        <w:t xml:space="preserve"> Un negocio con licencia comercial en Thornton durante al menos 12 meses, con un contrato de arrendamiento comercial vigente (compromiso mínimo de 1 año) o propiedad de propiedad comercial en la ciudad de Thornton. (Exclusiones: organizaciones sin fines de lucro, negocios de marihuana, instalaciones residenciales e instituciones religiosas).</w:t>
      </w:r>
    </w:p>
    <w:p w14:paraId="799282A3" w14:textId="5DB8C477" w:rsidR="00F41590" w:rsidRPr="007F4677" w:rsidRDefault="00F41590" w:rsidP="00863078">
      <w:pPr>
        <w:pStyle w:val="Heading1"/>
        <w:spacing w:before="183"/>
        <w:ind w:left="360"/>
        <w:rPr>
          <w:b w:val="0"/>
          <w:bCs w:val="0"/>
          <w:lang w:val="es-ES"/>
        </w:rPr>
      </w:pPr>
      <w:r w:rsidRPr="007F4677">
        <w:rPr>
          <w:rFonts w:ascii="Apple Color Emoji" w:hAnsi="Apple Color Emoji" w:cs="Apple Color Emoji"/>
          <w:b w:val="0"/>
          <w:bCs w:val="0"/>
          <w:lang w:val="es-ES"/>
        </w:rPr>
        <w:t>◻</w:t>
      </w:r>
      <w:r w:rsidRPr="007F4677">
        <w:rPr>
          <w:b w:val="0"/>
          <w:bCs w:val="0"/>
          <w:lang w:val="es-ES"/>
        </w:rPr>
        <w:t xml:space="preserve"> Si la empresa tiene un contrato de arrendamiento no convencional, como un camión de comida, un espacio de trabajo conjunto compartido o un subarrendamiento, consulte los montos máximos de subvención permitidos.</w:t>
      </w:r>
    </w:p>
    <w:p w14:paraId="04AAA506" w14:textId="4CBAB0E1" w:rsidR="00F41590" w:rsidRPr="007F4677" w:rsidRDefault="00F41590" w:rsidP="00863078">
      <w:pPr>
        <w:pStyle w:val="Heading1"/>
        <w:spacing w:before="183"/>
        <w:ind w:left="360"/>
        <w:rPr>
          <w:b w:val="0"/>
          <w:bCs w:val="0"/>
          <w:lang w:val="es-ES"/>
        </w:rPr>
      </w:pPr>
      <w:r w:rsidRPr="007F4677">
        <w:rPr>
          <w:rFonts w:ascii="Apple Color Emoji" w:hAnsi="Apple Color Emoji" w:cs="Apple Color Emoji"/>
          <w:b w:val="0"/>
          <w:bCs w:val="0"/>
          <w:lang w:val="es-ES"/>
        </w:rPr>
        <w:t>◻</w:t>
      </w:r>
      <w:r w:rsidRPr="007F4677">
        <w:rPr>
          <w:b w:val="0"/>
          <w:bCs w:val="0"/>
          <w:lang w:val="es-ES"/>
        </w:rPr>
        <w:t xml:space="preserve"> </w:t>
      </w:r>
      <w:r w:rsidRPr="007F4677">
        <w:rPr>
          <w:b w:val="0"/>
          <w:bCs w:val="0"/>
          <w:lang w:val="es-ES"/>
        </w:rPr>
        <w:t>Estar u</w:t>
      </w:r>
      <w:r w:rsidRPr="007F4677">
        <w:rPr>
          <w:b w:val="0"/>
          <w:bCs w:val="0"/>
          <w:lang w:val="es-ES"/>
        </w:rPr>
        <w:t>bicado en designaciones de zonificación no residencial y no en propiedad pública.</w:t>
      </w:r>
    </w:p>
    <w:p w14:paraId="218989C2" w14:textId="77777777" w:rsidR="00F41590" w:rsidRPr="007F4677" w:rsidRDefault="00F41590" w:rsidP="00863078">
      <w:pPr>
        <w:pStyle w:val="Heading1"/>
        <w:spacing w:before="183"/>
        <w:ind w:left="360"/>
        <w:rPr>
          <w:b w:val="0"/>
          <w:bCs w:val="0"/>
          <w:lang w:val="es-ES"/>
        </w:rPr>
      </w:pPr>
      <w:r w:rsidRPr="007F4677">
        <w:rPr>
          <w:rFonts w:ascii="Apple Color Emoji" w:hAnsi="Apple Color Emoji" w:cs="Apple Color Emoji"/>
          <w:b w:val="0"/>
          <w:bCs w:val="0"/>
          <w:lang w:val="es-ES"/>
        </w:rPr>
        <w:t>◻</w:t>
      </w:r>
      <w:r w:rsidRPr="007F4677">
        <w:rPr>
          <w:b w:val="0"/>
          <w:bCs w:val="0"/>
          <w:lang w:val="es-ES"/>
        </w:rPr>
        <w:t xml:space="preserve"> En cumplimiento con todos los impuestos de la Ciudad, licencias y leyes y ordenanzas aplicables.</w:t>
      </w:r>
    </w:p>
    <w:p w14:paraId="3476A242" w14:textId="77777777" w:rsidR="00F41590" w:rsidRPr="007F4677" w:rsidRDefault="00F41590" w:rsidP="00863078">
      <w:pPr>
        <w:pStyle w:val="Heading1"/>
        <w:spacing w:before="183"/>
        <w:ind w:left="360"/>
        <w:rPr>
          <w:b w:val="0"/>
          <w:bCs w:val="0"/>
          <w:lang w:val="es-ES"/>
        </w:rPr>
      </w:pPr>
      <w:r w:rsidRPr="007F4677">
        <w:rPr>
          <w:rFonts w:ascii="Apple Color Emoji" w:hAnsi="Apple Color Emoji" w:cs="Apple Color Emoji"/>
          <w:b w:val="0"/>
          <w:bCs w:val="0"/>
          <w:lang w:val="es-ES"/>
        </w:rPr>
        <w:t>◻</w:t>
      </w:r>
      <w:r w:rsidRPr="007F4677">
        <w:rPr>
          <w:b w:val="0"/>
          <w:bCs w:val="0"/>
          <w:lang w:val="es-ES"/>
        </w:rPr>
        <w:t xml:space="preserve"> En circunstancias de emergencia, se puede considerar una exención a un requisito de subvención caso por caso.</w:t>
      </w:r>
    </w:p>
    <w:p w14:paraId="71DE016C" w14:textId="77777777" w:rsidR="00F41590" w:rsidRPr="007F4677" w:rsidRDefault="00F41590" w:rsidP="00863078">
      <w:pPr>
        <w:pStyle w:val="Heading1"/>
        <w:spacing w:before="183" w:line="240" w:lineRule="auto"/>
        <w:ind w:left="360"/>
        <w:rPr>
          <w:b w:val="0"/>
          <w:bCs w:val="0"/>
          <w:lang w:val="es-ES"/>
        </w:rPr>
      </w:pPr>
      <w:r w:rsidRPr="007F4677">
        <w:rPr>
          <w:rFonts w:ascii="Apple Color Emoji" w:hAnsi="Apple Color Emoji" w:cs="Apple Color Emoji"/>
          <w:b w:val="0"/>
          <w:bCs w:val="0"/>
          <w:lang w:val="es-ES"/>
        </w:rPr>
        <w:t>◻</w:t>
      </w:r>
      <w:r w:rsidRPr="007F4677">
        <w:rPr>
          <w:b w:val="0"/>
          <w:bCs w:val="0"/>
          <w:lang w:val="es-ES"/>
        </w:rPr>
        <w:t xml:space="preserve"> Los negocios basados en el hogar son elegibles para solicitar hasta $1,000 en fondos de subvenciones de mercadeo equivalentes.</w:t>
      </w:r>
    </w:p>
    <w:p w14:paraId="0D617ED7" w14:textId="14FB4D61" w:rsidR="00323A68" w:rsidRPr="007F4677" w:rsidRDefault="00F41590" w:rsidP="00F41590">
      <w:pPr>
        <w:pStyle w:val="Heading1"/>
        <w:spacing w:before="183" w:line="240" w:lineRule="auto"/>
        <w:rPr>
          <w:b w:val="0"/>
          <w:lang w:val="es-ES"/>
        </w:rPr>
      </w:pPr>
      <w:r w:rsidRPr="007F4677">
        <w:rPr>
          <w:lang w:val="es-ES"/>
        </w:rPr>
        <w:t>Los solicitantes son responsables de:</w:t>
      </w:r>
    </w:p>
    <w:p w14:paraId="02096957" w14:textId="34418722" w:rsidR="00F41590" w:rsidRPr="007F4677" w:rsidRDefault="00F41590" w:rsidP="00F41590">
      <w:pPr>
        <w:pStyle w:val="BodyText"/>
        <w:numPr>
          <w:ilvl w:val="0"/>
          <w:numId w:val="11"/>
        </w:numPr>
        <w:spacing w:before="2"/>
        <w:rPr>
          <w:sz w:val="22"/>
          <w:szCs w:val="22"/>
          <w:lang w:val="es-ES"/>
        </w:rPr>
      </w:pPr>
      <w:r w:rsidRPr="007F4677">
        <w:rPr>
          <w:sz w:val="22"/>
          <w:szCs w:val="22"/>
          <w:lang w:val="es-ES"/>
        </w:rPr>
        <w:t xml:space="preserve">Presentar un formulario de solicitud completo y una descripción detallada del proyecto que responda a la Rúbrica de </w:t>
      </w:r>
      <w:r w:rsidRPr="007F4677">
        <w:rPr>
          <w:sz w:val="22"/>
          <w:szCs w:val="22"/>
          <w:lang w:val="es-ES"/>
        </w:rPr>
        <w:t>P</w:t>
      </w:r>
      <w:r w:rsidRPr="007F4677">
        <w:rPr>
          <w:sz w:val="22"/>
          <w:szCs w:val="22"/>
          <w:lang w:val="es-ES"/>
        </w:rPr>
        <w:t xml:space="preserve">untuación del </w:t>
      </w:r>
      <w:r w:rsidRPr="007F4677">
        <w:rPr>
          <w:sz w:val="22"/>
          <w:szCs w:val="22"/>
          <w:lang w:val="es-ES"/>
        </w:rPr>
        <w:t>P</w:t>
      </w:r>
      <w:r w:rsidRPr="007F4677">
        <w:rPr>
          <w:sz w:val="22"/>
          <w:szCs w:val="22"/>
          <w:lang w:val="es-ES"/>
        </w:rPr>
        <w:t>rograma.</w:t>
      </w:r>
    </w:p>
    <w:p w14:paraId="3E1ADCFD" w14:textId="7D91990F" w:rsidR="00F41590" w:rsidRPr="007F4677" w:rsidRDefault="00F41590" w:rsidP="00F41590">
      <w:pPr>
        <w:pStyle w:val="BodyText"/>
        <w:numPr>
          <w:ilvl w:val="0"/>
          <w:numId w:val="11"/>
        </w:numPr>
        <w:spacing w:before="2"/>
        <w:rPr>
          <w:sz w:val="22"/>
          <w:szCs w:val="22"/>
          <w:lang w:val="es-ES"/>
        </w:rPr>
      </w:pPr>
      <w:r w:rsidRPr="007F4677">
        <w:rPr>
          <w:sz w:val="22"/>
          <w:szCs w:val="22"/>
          <w:lang w:val="es-ES"/>
        </w:rPr>
        <w:t>Proporcionar una copia de un contrato de arrendamiento comercial firmado para incluir las fechas de compromiso.</w:t>
      </w:r>
    </w:p>
    <w:p w14:paraId="279C9A19" w14:textId="55A9CE35" w:rsidR="00F41590" w:rsidRPr="007F4677" w:rsidRDefault="00F41590" w:rsidP="00F41590">
      <w:pPr>
        <w:pStyle w:val="BodyText"/>
        <w:numPr>
          <w:ilvl w:val="0"/>
          <w:numId w:val="11"/>
        </w:numPr>
        <w:spacing w:before="2"/>
        <w:rPr>
          <w:sz w:val="22"/>
          <w:szCs w:val="22"/>
          <w:lang w:val="es-ES"/>
        </w:rPr>
      </w:pPr>
      <w:r w:rsidRPr="007F4677">
        <w:rPr>
          <w:sz w:val="22"/>
          <w:szCs w:val="22"/>
          <w:lang w:val="es-ES"/>
        </w:rPr>
        <w:t>Proporcionar la documentación adecuada de los gastos de cada componente principal del proyecto.</w:t>
      </w:r>
    </w:p>
    <w:p w14:paraId="3DD086CD" w14:textId="239E1D35" w:rsidR="00F41590" w:rsidRPr="007F4677" w:rsidRDefault="00F41590" w:rsidP="00F41590">
      <w:pPr>
        <w:pStyle w:val="BodyText"/>
        <w:numPr>
          <w:ilvl w:val="0"/>
          <w:numId w:val="11"/>
        </w:numPr>
        <w:spacing w:before="2"/>
        <w:rPr>
          <w:sz w:val="22"/>
          <w:szCs w:val="22"/>
          <w:lang w:val="es-ES"/>
        </w:rPr>
      </w:pPr>
      <w:r w:rsidRPr="007F4677">
        <w:rPr>
          <w:sz w:val="22"/>
          <w:szCs w:val="22"/>
          <w:lang w:val="es-ES"/>
        </w:rPr>
        <w:t xml:space="preserve">Asegurarse de que los impuestos sobre las ventas y el uso, los permisos y las tarifas de revisión del diseño se incluyan en los gastos que se incluirán en el cálculo de reembolso de fondos </w:t>
      </w:r>
      <w:r w:rsidRPr="007F4677">
        <w:rPr>
          <w:sz w:val="22"/>
          <w:szCs w:val="22"/>
          <w:lang w:val="es-ES"/>
        </w:rPr>
        <w:t>BIG</w:t>
      </w:r>
      <w:r w:rsidRPr="007F4677">
        <w:rPr>
          <w:sz w:val="22"/>
          <w:szCs w:val="22"/>
          <w:lang w:val="es-ES"/>
        </w:rPr>
        <w:t>.</w:t>
      </w:r>
    </w:p>
    <w:p w14:paraId="03D03886" w14:textId="5A201C44" w:rsidR="00F41590" w:rsidRPr="007F4677" w:rsidRDefault="00F41590" w:rsidP="00F41590">
      <w:pPr>
        <w:pStyle w:val="BodyText"/>
        <w:numPr>
          <w:ilvl w:val="0"/>
          <w:numId w:val="11"/>
        </w:numPr>
        <w:spacing w:before="2"/>
        <w:rPr>
          <w:sz w:val="22"/>
          <w:szCs w:val="22"/>
          <w:lang w:val="es-ES"/>
        </w:rPr>
      </w:pPr>
      <w:r w:rsidRPr="007F4677">
        <w:rPr>
          <w:sz w:val="22"/>
          <w:szCs w:val="22"/>
          <w:lang w:val="es-ES"/>
        </w:rPr>
        <w:t>Si el solicitante es un inquilino y se realizan mejoras en el edificio, o se ubicará equipo grande en el espacio, se requiere una carta de aprobación para realizar cambios del propietario/administrador de la propiedad.</w:t>
      </w:r>
    </w:p>
    <w:p w14:paraId="66151C2F" w14:textId="1CE95351" w:rsidR="00F41590" w:rsidRPr="007F4677" w:rsidRDefault="00F41590" w:rsidP="00F41590">
      <w:pPr>
        <w:pStyle w:val="BodyText"/>
        <w:numPr>
          <w:ilvl w:val="0"/>
          <w:numId w:val="11"/>
        </w:numPr>
        <w:spacing w:before="2"/>
        <w:rPr>
          <w:sz w:val="22"/>
          <w:szCs w:val="22"/>
          <w:lang w:val="es-ES"/>
        </w:rPr>
      </w:pPr>
      <w:r w:rsidRPr="007F4677">
        <w:rPr>
          <w:sz w:val="22"/>
          <w:szCs w:val="22"/>
          <w:lang w:val="es-ES"/>
        </w:rPr>
        <w:t>Proporcionar fotos de "antes" de cada componente principal del proyecto.</w:t>
      </w:r>
    </w:p>
    <w:p w14:paraId="52E7170E" w14:textId="3E2E1282" w:rsidR="00F41590" w:rsidRPr="007F4677" w:rsidRDefault="00F41590" w:rsidP="00F41590">
      <w:pPr>
        <w:pStyle w:val="BodyText"/>
        <w:numPr>
          <w:ilvl w:val="0"/>
          <w:numId w:val="11"/>
        </w:numPr>
        <w:spacing w:before="2"/>
        <w:rPr>
          <w:sz w:val="22"/>
          <w:szCs w:val="22"/>
          <w:lang w:val="es-ES"/>
        </w:rPr>
      </w:pPr>
      <w:r w:rsidRPr="007F4677">
        <w:rPr>
          <w:sz w:val="22"/>
          <w:szCs w:val="22"/>
          <w:lang w:val="es-ES"/>
        </w:rPr>
        <w:t xml:space="preserve">Proporcionar un formulario W-9 firmado </w:t>
      </w:r>
      <w:r w:rsidRPr="007F4677">
        <w:rPr>
          <w:rStyle w:val="Hyperlink"/>
          <w:lang w:val="es-ES"/>
        </w:rPr>
        <w:t>www.irs.gov/pub/irs-pdf/fw9.pdf.</w:t>
      </w:r>
    </w:p>
    <w:p w14:paraId="1B22E0DE" w14:textId="0888D507" w:rsidR="00323A68" w:rsidRPr="007F4677" w:rsidRDefault="00F41590" w:rsidP="00F41590">
      <w:pPr>
        <w:pStyle w:val="BodyText"/>
        <w:numPr>
          <w:ilvl w:val="0"/>
          <w:numId w:val="11"/>
        </w:numPr>
        <w:spacing w:before="2"/>
        <w:rPr>
          <w:sz w:val="22"/>
          <w:szCs w:val="22"/>
          <w:lang w:val="es-ES"/>
        </w:rPr>
      </w:pPr>
      <w:r w:rsidRPr="007F4677">
        <w:rPr>
          <w:sz w:val="22"/>
          <w:szCs w:val="22"/>
          <w:lang w:val="es-ES"/>
        </w:rPr>
        <w:t>Obtener todos los permisos, inspecciones y aprobaciones necesarios por parte de la Ciudad de Thornton.</w:t>
      </w:r>
    </w:p>
    <w:p w14:paraId="713710CB" w14:textId="77777777" w:rsidR="00F41590" w:rsidRPr="007F4677" w:rsidRDefault="00F41590" w:rsidP="00F41590">
      <w:pPr>
        <w:pStyle w:val="BodyText"/>
        <w:spacing w:before="2"/>
        <w:ind w:left="0" w:firstLine="0"/>
        <w:rPr>
          <w:b/>
          <w:sz w:val="22"/>
          <w:szCs w:val="22"/>
          <w:lang w:val="es-ES"/>
        </w:rPr>
      </w:pPr>
    </w:p>
    <w:p w14:paraId="241974F9" w14:textId="4A457AD5" w:rsidR="00323A68" w:rsidRPr="007F4677" w:rsidRDefault="00F41590" w:rsidP="00F56C6B">
      <w:pPr>
        <w:pStyle w:val="Heading1"/>
        <w:spacing w:line="240" w:lineRule="auto"/>
        <w:rPr>
          <w:lang w:val="es-ES"/>
        </w:rPr>
      </w:pPr>
      <w:r w:rsidRPr="007F4677">
        <w:rPr>
          <w:lang w:val="es-ES"/>
        </w:rPr>
        <w:t>Proceso de presentación de solicitudes</w:t>
      </w:r>
      <w:r w:rsidR="002F57EB" w:rsidRPr="007F4677">
        <w:rPr>
          <w:lang w:val="es-ES"/>
        </w:rPr>
        <w:t>:</w:t>
      </w:r>
    </w:p>
    <w:p w14:paraId="59B2BE83" w14:textId="77777777" w:rsidR="005F1446" w:rsidRPr="007F4677" w:rsidRDefault="00F41590" w:rsidP="005F1446">
      <w:pPr>
        <w:pStyle w:val="ListParagraph"/>
        <w:numPr>
          <w:ilvl w:val="0"/>
          <w:numId w:val="2"/>
        </w:numPr>
        <w:tabs>
          <w:tab w:val="left" w:pos="832"/>
        </w:tabs>
        <w:ind w:right="109"/>
        <w:rPr>
          <w:lang w:val="es-ES"/>
        </w:rPr>
      </w:pPr>
      <w:r w:rsidRPr="007F4677">
        <w:rPr>
          <w:b/>
          <w:lang w:val="es-ES"/>
        </w:rPr>
        <w:t>Las solicitudes se aceptan desde el 1 de enero de 2023 hasta el 31 de julio de 2023</w:t>
      </w:r>
      <w:r w:rsidR="00CB0BB4" w:rsidRPr="007F4677">
        <w:rPr>
          <w:lang w:val="es-ES"/>
        </w:rPr>
        <w:t xml:space="preserve">. </w:t>
      </w:r>
      <w:r w:rsidR="005F1446" w:rsidRPr="007F4677">
        <w:rPr>
          <w:lang w:val="es-ES"/>
        </w:rPr>
        <w:t>Las subvenciones se aceptarán por orden de llegada hasta que se agoten los fondos.</w:t>
      </w:r>
    </w:p>
    <w:p w14:paraId="39438DB8" w14:textId="737EF0C5" w:rsidR="005F1446" w:rsidRPr="007F4677" w:rsidRDefault="005F1446" w:rsidP="005F1446">
      <w:pPr>
        <w:pStyle w:val="ListParagraph"/>
        <w:numPr>
          <w:ilvl w:val="0"/>
          <w:numId w:val="2"/>
        </w:numPr>
        <w:tabs>
          <w:tab w:val="left" w:pos="832"/>
        </w:tabs>
        <w:ind w:right="109"/>
        <w:rPr>
          <w:lang w:val="es-ES"/>
        </w:rPr>
      </w:pPr>
      <w:r w:rsidRPr="007F4677">
        <w:rPr>
          <w:lang w:val="es-ES"/>
        </w:rPr>
        <w:t>Todas las solicitudes se considerarán para su aprobación de acuerdo con qué tan bien el proyecto cumple con los criterios enumerados en la Rúbrica de puntuación del programa (algunas solicitudes pueden ser denegadas).</w:t>
      </w:r>
    </w:p>
    <w:p w14:paraId="6FA0956C" w14:textId="56B4B189" w:rsidR="005F1446" w:rsidRPr="007F4677" w:rsidRDefault="005F1446" w:rsidP="005F1446">
      <w:pPr>
        <w:pStyle w:val="ListParagraph"/>
        <w:numPr>
          <w:ilvl w:val="0"/>
          <w:numId w:val="2"/>
        </w:numPr>
        <w:tabs>
          <w:tab w:val="left" w:pos="832"/>
        </w:tabs>
        <w:ind w:right="109"/>
        <w:rPr>
          <w:lang w:val="es-ES"/>
        </w:rPr>
      </w:pPr>
      <w:r w:rsidRPr="007F4677">
        <w:rPr>
          <w:lang w:val="es-ES"/>
        </w:rPr>
        <w:t xml:space="preserve">Las solicitudes se pueden enviar en línea en </w:t>
      </w:r>
      <w:r w:rsidRPr="007F4677">
        <w:rPr>
          <w:rStyle w:val="Hyperlink"/>
          <w:sz w:val="20"/>
          <w:szCs w:val="20"/>
          <w:lang w:val="es-ES"/>
        </w:rPr>
        <w:t>www.businessinthornton.com.</w:t>
      </w:r>
    </w:p>
    <w:p w14:paraId="7E91384E" w14:textId="4ACEBD89" w:rsidR="005F1446" w:rsidRPr="007F4677" w:rsidRDefault="005F1446" w:rsidP="005F1446">
      <w:pPr>
        <w:pStyle w:val="ListParagraph"/>
        <w:numPr>
          <w:ilvl w:val="0"/>
          <w:numId w:val="2"/>
        </w:numPr>
        <w:tabs>
          <w:tab w:val="left" w:pos="832"/>
        </w:tabs>
        <w:ind w:right="109"/>
        <w:rPr>
          <w:lang w:val="es-ES"/>
        </w:rPr>
      </w:pPr>
      <w:r w:rsidRPr="007F4677">
        <w:rPr>
          <w:lang w:val="es-ES"/>
        </w:rPr>
        <w:t>La solicitud será revisada por los siguientes departamentos: Desarrollo Económico, División de Edificación, Ingeniería de Desarrollo, División de Planificación e Impuesto sobre Ventas y Uso.</w:t>
      </w:r>
    </w:p>
    <w:p w14:paraId="242A1414" w14:textId="184D930E" w:rsidR="005F1446" w:rsidRPr="007F4677" w:rsidRDefault="005F1446" w:rsidP="005F1446">
      <w:pPr>
        <w:pStyle w:val="ListParagraph"/>
        <w:numPr>
          <w:ilvl w:val="0"/>
          <w:numId w:val="2"/>
        </w:numPr>
        <w:tabs>
          <w:tab w:val="left" w:pos="832"/>
        </w:tabs>
        <w:ind w:right="109"/>
        <w:rPr>
          <w:lang w:val="es-ES"/>
        </w:rPr>
      </w:pPr>
      <w:r w:rsidRPr="007F4677">
        <w:rPr>
          <w:lang w:val="es-ES"/>
        </w:rPr>
        <w:t>La Comisión Asesora Comercial de Thornton (BTAC) revisará las solicitudes mensualmente y tomará una decisión final sobre todas las solicitudes para incluir los montos finales de las adjudicaciones.</w:t>
      </w:r>
    </w:p>
    <w:p w14:paraId="4D97DF69" w14:textId="75BA5711" w:rsidR="005F1446" w:rsidRPr="007F4677" w:rsidRDefault="005F1446" w:rsidP="005F1446">
      <w:pPr>
        <w:pStyle w:val="ListParagraph"/>
        <w:numPr>
          <w:ilvl w:val="0"/>
          <w:numId w:val="2"/>
        </w:numPr>
        <w:tabs>
          <w:tab w:val="left" w:pos="832"/>
        </w:tabs>
        <w:ind w:right="109"/>
        <w:rPr>
          <w:lang w:val="es-ES"/>
        </w:rPr>
      </w:pPr>
      <w:r w:rsidRPr="007F4677">
        <w:rPr>
          <w:lang w:val="es-ES"/>
        </w:rPr>
        <w:t>La Oficina de Desarrollo Económico notificará al solicitante de la aprobación o denegación de la subvención. Si se aprueba, también se proporcionará una notificación del monto de la adjudicación, los permisos y los requisitos reglamentarios.</w:t>
      </w:r>
    </w:p>
    <w:p w14:paraId="3359FEFC" w14:textId="1571D86B" w:rsidR="00323A68" w:rsidRPr="007F4677" w:rsidRDefault="00323A68" w:rsidP="005F1446">
      <w:pPr>
        <w:tabs>
          <w:tab w:val="left" w:pos="832"/>
        </w:tabs>
        <w:ind w:left="472" w:right="109"/>
        <w:rPr>
          <w:lang w:val="es-ES"/>
        </w:rPr>
      </w:pPr>
    </w:p>
    <w:p w14:paraId="1E97D9F3" w14:textId="3AD0DE95" w:rsidR="00323A68" w:rsidRPr="007F4677" w:rsidRDefault="00863078" w:rsidP="00F56C6B">
      <w:pPr>
        <w:pStyle w:val="Heading1"/>
        <w:tabs>
          <w:tab w:val="left" w:pos="11170"/>
        </w:tabs>
        <w:spacing w:before="185" w:line="240" w:lineRule="auto"/>
        <w:ind w:right="109"/>
        <w:rPr>
          <w:b w:val="0"/>
          <w:lang w:val="es-ES"/>
        </w:rPr>
      </w:pPr>
      <w:r w:rsidRPr="007F4677">
        <w:rPr>
          <w:lang w:val="es-ES"/>
        </w:rPr>
        <w:t>Lista de verificación de reembolso:</w:t>
      </w:r>
      <w:r w:rsidRPr="007F4677">
        <w:rPr>
          <w:lang w:val="es-ES"/>
        </w:rPr>
        <w:t xml:space="preserve"> </w:t>
      </w:r>
      <w:r w:rsidRPr="007F4677">
        <w:rPr>
          <w:color w:val="FF0000"/>
          <w:lang w:val="es-ES"/>
        </w:rPr>
        <w:t>Lo siguiente debe completarse antes de la fecha límite del proyecto: 8 de diciembre de 2023</w:t>
      </w:r>
      <w:r w:rsidR="006A4888" w:rsidRPr="007F4677">
        <w:rPr>
          <w:color w:val="FF0000"/>
          <w:lang w:val="es-ES"/>
        </w:rPr>
        <w:t>.</w:t>
      </w:r>
      <w:r w:rsidR="00003869" w:rsidRPr="007F4677">
        <w:rPr>
          <w:color w:val="FF0000"/>
          <w:lang w:val="es-ES"/>
        </w:rPr>
        <w:t xml:space="preserve"> </w:t>
      </w:r>
      <w:r w:rsidRPr="007F4677">
        <w:rPr>
          <w:b w:val="0"/>
          <w:color w:val="FF0000"/>
          <w:lang w:val="es-ES"/>
        </w:rPr>
        <w:t>(No se permiten extensiones).</w:t>
      </w:r>
      <w:r w:rsidRPr="007F4677">
        <w:rPr>
          <w:b w:val="0"/>
          <w:color w:val="FF0000"/>
          <w:lang w:val="es-ES"/>
        </w:rPr>
        <w:t xml:space="preserve"> </w:t>
      </w:r>
      <w:r w:rsidRPr="007F4677">
        <w:rPr>
          <w:lang w:val="es-ES"/>
        </w:rPr>
        <w:t>Se debe enviar una solicitud de reembolso a la Oficina de Desarrollo Económico de Thornton una vez que el proyecto esté completo, todos los gastos estén pagados en su totalidad y todos los permisos hayan sido aprobados y cerrados.</w:t>
      </w:r>
    </w:p>
    <w:p w14:paraId="68A46658" w14:textId="77777777" w:rsidR="00863078" w:rsidRPr="007F4677" w:rsidRDefault="00863078" w:rsidP="00863078">
      <w:pPr>
        <w:ind w:left="540"/>
        <w:rPr>
          <w:lang w:val="es-ES"/>
        </w:rPr>
      </w:pPr>
      <w:r w:rsidRPr="007F4677">
        <w:rPr>
          <w:rFonts w:ascii="Apple Color Emoji" w:hAnsi="Apple Color Emoji" w:cs="Apple Color Emoji"/>
          <w:lang w:val="es-ES"/>
        </w:rPr>
        <w:t>◻</w:t>
      </w:r>
      <w:r w:rsidRPr="007F4677">
        <w:rPr>
          <w:lang w:val="es-ES"/>
        </w:rPr>
        <w:t xml:space="preserve"> Asegúrese de que TODO el trabajo requerido esté </w:t>
      </w:r>
      <w:r w:rsidRPr="007F4677">
        <w:rPr>
          <w:b/>
          <w:bCs/>
          <w:u w:val="single"/>
          <w:lang w:val="es-ES"/>
        </w:rPr>
        <w:t>permitido, inspeccionado y aprobado</w:t>
      </w:r>
      <w:r w:rsidRPr="007F4677">
        <w:rPr>
          <w:lang w:val="es-ES"/>
        </w:rPr>
        <w:t xml:space="preserve"> por la Ciudad de </w:t>
      </w:r>
      <w:r w:rsidRPr="007F4677">
        <w:rPr>
          <w:lang w:val="es-ES"/>
        </w:rPr>
        <w:lastRenderedPageBreak/>
        <w:t>Thornton.</w:t>
      </w:r>
    </w:p>
    <w:p w14:paraId="05F73376" w14:textId="617C9B1A" w:rsidR="00863078" w:rsidRPr="007F4677" w:rsidRDefault="00863078" w:rsidP="00863078">
      <w:pPr>
        <w:ind w:left="540"/>
        <w:rPr>
          <w:lang w:val="es-ES"/>
        </w:rPr>
      </w:pPr>
      <w:r w:rsidRPr="007F4677">
        <w:rPr>
          <w:rFonts w:ascii="Apple Color Emoji" w:hAnsi="Apple Color Emoji" w:cs="Apple Color Emoji"/>
          <w:lang w:val="es-ES"/>
        </w:rPr>
        <w:t>◻</w:t>
      </w:r>
      <w:r w:rsidRPr="007F4677">
        <w:rPr>
          <w:lang w:val="es-ES"/>
        </w:rPr>
        <w:t xml:space="preserve"> El proyecto debe pagarse en su totalidad, incluida la diferencia, si la </w:t>
      </w:r>
      <w:r w:rsidRPr="007F4677">
        <w:rPr>
          <w:lang w:val="es-ES"/>
        </w:rPr>
        <w:t>hay</w:t>
      </w:r>
      <w:r w:rsidRPr="007F4677">
        <w:rPr>
          <w:lang w:val="es-ES"/>
        </w:rPr>
        <w:t>, entre el monto de la subvención aprobada y los costos totales del proyecto.</w:t>
      </w:r>
    </w:p>
    <w:p w14:paraId="777DE226" w14:textId="77777777" w:rsidR="00863078" w:rsidRPr="007F4677" w:rsidRDefault="00863078" w:rsidP="00863078">
      <w:pPr>
        <w:ind w:left="540"/>
        <w:rPr>
          <w:lang w:val="es-ES"/>
        </w:rPr>
      </w:pPr>
      <w:r w:rsidRPr="007F4677">
        <w:rPr>
          <w:rFonts w:ascii="Apple Color Emoji" w:hAnsi="Apple Color Emoji" w:cs="Apple Color Emoji"/>
          <w:lang w:val="es-ES"/>
        </w:rPr>
        <w:t>◻</w:t>
      </w:r>
      <w:r w:rsidRPr="007F4677">
        <w:rPr>
          <w:lang w:val="es-ES"/>
        </w:rPr>
        <w:t xml:space="preserve"> El paquete de reembolso debe incluir:</w:t>
      </w:r>
    </w:p>
    <w:p w14:paraId="3359B30F" w14:textId="77777777" w:rsidR="00863078" w:rsidRPr="007F4677" w:rsidRDefault="00863078" w:rsidP="00155748">
      <w:pPr>
        <w:ind w:left="540" w:firstLine="270"/>
        <w:rPr>
          <w:lang w:val="es-ES"/>
        </w:rPr>
      </w:pPr>
      <w:r w:rsidRPr="007F4677">
        <w:rPr>
          <w:lang w:val="es-ES"/>
        </w:rPr>
        <w:t>o Estado desglosado de recibos y facturas pagadas</w:t>
      </w:r>
    </w:p>
    <w:p w14:paraId="1337059E" w14:textId="459982B7" w:rsidR="00863078" w:rsidRPr="007F4677" w:rsidRDefault="00863078" w:rsidP="00863078">
      <w:pPr>
        <w:ind w:left="540"/>
        <w:rPr>
          <w:lang w:val="es-ES"/>
        </w:rPr>
      </w:pPr>
      <w:r w:rsidRPr="007F4677">
        <w:rPr>
          <w:rFonts w:ascii="Apple Color Emoji" w:hAnsi="Apple Color Emoji" w:cs="Apple Color Emoji"/>
          <w:lang w:val="es-ES"/>
        </w:rPr>
        <w:t>◻</w:t>
      </w:r>
      <w:r w:rsidRPr="007F4677">
        <w:rPr>
          <w:lang w:val="es-ES"/>
        </w:rPr>
        <w:t>Si no tiene una factura oficial pagada para pagos en efectivo, no puede presentar el gasto para su reembolso.</w:t>
      </w:r>
    </w:p>
    <w:p w14:paraId="40DF3698" w14:textId="77777777" w:rsidR="00863078" w:rsidRPr="007F4677" w:rsidRDefault="00863078" w:rsidP="00155748">
      <w:pPr>
        <w:ind w:left="540" w:firstLine="270"/>
        <w:rPr>
          <w:lang w:val="es-ES"/>
        </w:rPr>
      </w:pPr>
      <w:r w:rsidRPr="007F4677">
        <w:rPr>
          <w:lang w:val="es-ES"/>
        </w:rPr>
        <w:t>o Fotocopias de recibos y facturas pagadas</w:t>
      </w:r>
    </w:p>
    <w:p w14:paraId="4E3E47E6" w14:textId="77777777" w:rsidR="00863078" w:rsidRPr="007F4677" w:rsidRDefault="00863078" w:rsidP="00155748">
      <w:pPr>
        <w:ind w:left="540" w:firstLine="270"/>
        <w:rPr>
          <w:lang w:val="es-ES"/>
        </w:rPr>
      </w:pPr>
      <w:r w:rsidRPr="007F4677">
        <w:rPr>
          <w:lang w:val="es-ES"/>
        </w:rPr>
        <w:t>o Fotografías del “después” del proyecto terminado</w:t>
      </w:r>
    </w:p>
    <w:p w14:paraId="6C08187C" w14:textId="77777777" w:rsidR="00863078" w:rsidRPr="007F4677" w:rsidRDefault="00863078" w:rsidP="00155748">
      <w:pPr>
        <w:ind w:left="540" w:firstLine="270"/>
        <w:rPr>
          <w:b/>
          <w:lang w:val="es-ES"/>
        </w:rPr>
      </w:pPr>
      <w:r w:rsidRPr="007F4677">
        <w:rPr>
          <w:lang w:val="es-ES"/>
        </w:rPr>
        <w:t>o Para marketing, se debe enviar una copia, una imagen u otra documentación del anuncio final.</w:t>
      </w:r>
      <w:r w:rsidRPr="007F4677">
        <w:rPr>
          <w:b/>
          <w:lang w:val="es-ES"/>
        </w:rPr>
        <w:t xml:space="preserve"> </w:t>
      </w:r>
    </w:p>
    <w:p w14:paraId="557EF2EF" w14:textId="77777777" w:rsidR="00863078" w:rsidRPr="007F4677" w:rsidRDefault="00863078" w:rsidP="00863078">
      <w:pPr>
        <w:ind w:left="540"/>
        <w:rPr>
          <w:b/>
          <w:lang w:val="es-ES"/>
        </w:rPr>
      </w:pPr>
    </w:p>
    <w:p w14:paraId="6AEAEB56" w14:textId="77777777" w:rsidR="00155748" w:rsidRPr="007F4677" w:rsidRDefault="00155748" w:rsidP="00F56C6B">
      <w:pPr>
        <w:pStyle w:val="Heading1"/>
        <w:spacing w:before="184" w:line="240" w:lineRule="auto"/>
        <w:rPr>
          <w:bCs w:val="0"/>
          <w:lang w:val="es-ES"/>
        </w:rPr>
      </w:pPr>
      <w:r w:rsidRPr="007F4677">
        <w:rPr>
          <w:bCs w:val="0"/>
          <w:lang w:val="es-ES"/>
        </w:rPr>
        <w:t>(Todas las ofertas, facturas, recibos, fotos y documentos requeridos deben compilarse en una presentación ordenada).</w:t>
      </w:r>
    </w:p>
    <w:p w14:paraId="1248B8AC" w14:textId="2342C802" w:rsidR="00323A68" w:rsidRPr="007F4677" w:rsidRDefault="00155748" w:rsidP="00F56C6B">
      <w:pPr>
        <w:pStyle w:val="Heading1"/>
        <w:spacing w:before="184" w:line="240" w:lineRule="auto"/>
        <w:rPr>
          <w:lang w:val="es-ES"/>
        </w:rPr>
      </w:pPr>
      <w:r w:rsidRPr="007F4677">
        <w:rPr>
          <w:lang w:val="es-ES"/>
        </w:rPr>
        <w:t>Importes máximos de reembolso:</w:t>
      </w:r>
    </w:p>
    <w:p w14:paraId="0DB93127" w14:textId="029B10B4" w:rsidR="00155748" w:rsidRPr="007F4677" w:rsidRDefault="00155748" w:rsidP="00155748">
      <w:pPr>
        <w:pStyle w:val="ListParagraph"/>
        <w:numPr>
          <w:ilvl w:val="0"/>
          <w:numId w:val="13"/>
        </w:numPr>
        <w:spacing w:before="93"/>
        <w:ind w:right="1277"/>
        <w:rPr>
          <w:lang w:val="es-ES"/>
        </w:rPr>
      </w:pPr>
      <w:r w:rsidRPr="007F4677">
        <w:rPr>
          <w:lang w:val="es-ES"/>
        </w:rPr>
        <w:t xml:space="preserve">La financiación </w:t>
      </w:r>
      <w:r w:rsidRPr="007F4677">
        <w:rPr>
          <w:lang w:val="es-ES"/>
        </w:rPr>
        <w:t>BIG</w:t>
      </w:r>
      <w:r w:rsidRPr="007F4677">
        <w:rPr>
          <w:lang w:val="es-ES"/>
        </w:rPr>
        <w:t xml:space="preserve"> permite un máximo de $20,000 cada 5 años.</w:t>
      </w:r>
    </w:p>
    <w:p w14:paraId="149F5F04" w14:textId="7EB5FCDB" w:rsidR="00155748" w:rsidRPr="007F4677" w:rsidRDefault="00155748" w:rsidP="00155748">
      <w:pPr>
        <w:pStyle w:val="ListParagraph"/>
        <w:numPr>
          <w:ilvl w:val="0"/>
          <w:numId w:val="13"/>
        </w:numPr>
        <w:spacing w:before="93"/>
        <w:ind w:right="1277"/>
        <w:rPr>
          <w:lang w:val="es-ES"/>
        </w:rPr>
      </w:pPr>
      <w:r w:rsidRPr="007F4677">
        <w:rPr>
          <w:lang w:val="es-ES"/>
        </w:rPr>
        <w:t>Los montos de reembolso se basarán en la documentación de los gastos recibidos y la razonabilidad de los costos.</w:t>
      </w:r>
    </w:p>
    <w:p w14:paraId="410CD89F" w14:textId="6CCDDBF7" w:rsidR="00155748" w:rsidRPr="007F4677" w:rsidRDefault="00155748" w:rsidP="00155748">
      <w:pPr>
        <w:pStyle w:val="ListParagraph"/>
        <w:numPr>
          <w:ilvl w:val="0"/>
          <w:numId w:val="13"/>
        </w:numPr>
        <w:spacing w:before="93"/>
        <w:ind w:right="1277"/>
        <w:rPr>
          <w:lang w:val="es-ES"/>
        </w:rPr>
      </w:pPr>
      <w:r w:rsidRPr="007F4677">
        <w:rPr>
          <w:lang w:val="es-ES"/>
        </w:rPr>
        <w:t>Las subvenciones de señalización se reembolsarán por un monto máximo de $10,000.</w:t>
      </w:r>
    </w:p>
    <w:p w14:paraId="24DF2022" w14:textId="38B2A747" w:rsidR="00155748" w:rsidRPr="007F4677" w:rsidRDefault="00155748" w:rsidP="00155748">
      <w:pPr>
        <w:pStyle w:val="ListParagraph"/>
        <w:numPr>
          <w:ilvl w:val="0"/>
          <w:numId w:val="13"/>
        </w:numPr>
        <w:spacing w:before="93"/>
        <w:ind w:right="1277"/>
        <w:rPr>
          <w:lang w:val="es-ES"/>
        </w:rPr>
      </w:pPr>
      <w:r w:rsidRPr="007F4677">
        <w:rPr>
          <w:lang w:val="es-ES"/>
        </w:rPr>
        <w:t>Las subvenciones exteriores no requieren fondos de contrapartida para los primeros $3,500 de un proyecto. Se requiere una coincidencia de 50/50 para el saldo restante (máximo de $20,000).</w:t>
      </w:r>
    </w:p>
    <w:p w14:paraId="1EE0800F" w14:textId="677E8E72" w:rsidR="00155748" w:rsidRPr="007F4677" w:rsidRDefault="00155748" w:rsidP="00155748">
      <w:pPr>
        <w:pStyle w:val="ListParagraph"/>
        <w:numPr>
          <w:ilvl w:val="0"/>
          <w:numId w:val="13"/>
        </w:numPr>
        <w:spacing w:before="93"/>
        <w:ind w:right="1277"/>
        <w:rPr>
          <w:lang w:val="es-ES"/>
        </w:rPr>
      </w:pPr>
      <w:r w:rsidRPr="007F4677">
        <w:rPr>
          <w:lang w:val="es-ES"/>
        </w:rPr>
        <w:t>Las subvenciones para interiores y equipos requieren una contrapartida de 50/50 hasta un monto máximo de $20,000.</w:t>
      </w:r>
    </w:p>
    <w:p w14:paraId="259D92C5" w14:textId="52908FBC" w:rsidR="00155748" w:rsidRPr="007F4677" w:rsidRDefault="00155748" w:rsidP="00155748">
      <w:pPr>
        <w:pStyle w:val="ListParagraph"/>
        <w:numPr>
          <w:ilvl w:val="0"/>
          <w:numId w:val="13"/>
        </w:numPr>
        <w:spacing w:before="93"/>
        <w:ind w:right="1277"/>
        <w:rPr>
          <w:lang w:val="es-ES"/>
        </w:rPr>
      </w:pPr>
      <w:r w:rsidRPr="007F4677">
        <w:rPr>
          <w:lang w:val="es-ES"/>
        </w:rPr>
        <w:t>Las subvenciones de mercadeo requieren una igualación de 50/50 hasta un máximo de $1,000.</w:t>
      </w:r>
    </w:p>
    <w:p w14:paraId="07AF0792" w14:textId="3B805535" w:rsidR="00155748" w:rsidRPr="007F4677" w:rsidRDefault="00155748" w:rsidP="00155748">
      <w:pPr>
        <w:pStyle w:val="ListParagraph"/>
        <w:numPr>
          <w:ilvl w:val="0"/>
          <w:numId w:val="13"/>
        </w:numPr>
        <w:spacing w:before="93"/>
        <w:ind w:right="1277"/>
        <w:rPr>
          <w:lang w:val="es-ES"/>
        </w:rPr>
      </w:pPr>
      <w:r w:rsidRPr="007F4677">
        <w:rPr>
          <w:lang w:val="es-ES"/>
        </w:rPr>
        <w:t xml:space="preserve">Lo </w:t>
      </w:r>
      <w:r w:rsidRPr="007F4677">
        <w:rPr>
          <w:lang w:val="es-ES"/>
        </w:rPr>
        <w:t>animamos</w:t>
      </w:r>
      <w:r w:rsidRPr="007F4677">
        <w:rPr>
          <w:lang w:val="es-ES"/>
        </w:rPr>
        <w:t xml:space="preserve"> a que contrate a los contratistas de Thornton y le reembolsaremos el 60 % de la oferta si se contrata a un contratista de Thornton. La oferta de un contratista de Thornton debe estar dentro de los $1,000 de la oferta más baja recibida. Para obtener una lista de los contratistas de Thornton, vaya a:</w:t>
      </w:r>
      <w:r w:rsidRPr="007F4677">
        <w:rPr>
          <w:lang w:val="es-ES"/>
        </w:rPr>
        <w:t xml:space="preserve"> </w:t>
      </w:r>
      <w:hyperlink r:id="rId6" w:history="1">
        <w:r w:rsidRPr="007F4677">
          <w:rPr>
            <w:rStyle w:val="Hyperlink"/>
            <w:lang w:val="es-ES"/>
          </w:rPr>
          <w:t>http://www.cityofthornton.net/government/citydevelopment/Pages/contractors.aspx</w:t>
        </w:r>
      </w:hyperlink>
      <w:r w:rsidRPr="007F4677">
        <w:rPr>
          <w:lang w:val="es-ES"/>
        </w:rPr>
        <w:t>.</w:t>
      </w:r>
      <w:r w:rsidRPr="007F4677">
        <w:rPr>
          <w:lang w:val="es-ES"/>
        </w:rPr>
        <w:t xml:space="preserve"> </w:t>
      </w:r>
    </w:p>
    <w:p w14:paraId="123DB4BA" w14:textId="77777777" w:rsidR="00155748" w:rsidRPr="007F4677" w:rsidRDefault="00155748" w:rsidP="00155748">
      <w:pPr>
        <w:spacing w:before="93"/>
        <w:ind w:right="1277"/>
        <w:rPr>
          <w:lang w:val="es-ES"/>
        </w:rPr>
      </w:pPr>
    </w:p>
    <w:p w14:paraId="3F57F89A" w14:textId="78018272" w:rsidR="00155748" w:rsidRPr="007F4677" w:rsidRDefault="00155748" w:rsidP="00155748">
      <w:pPr>
        <w:spacing w:before="93"/>
        <w:ind w:right="1277"/>
        <w:rPr>
          <w:lang w:val="es-ES"/>
        </w:rPr>
      </w:pPr>
      <w:r w:rsidRPr="007F4677">
        <w:rPr>
          <w:lang w:val="es-ES"/>
        </w:rPr>
        <w:t>Para obtener una lista de preguntas frecuentes</w:t>
      </w:r>
      <w:r w:rsidRPr="007F4677">
        <w:rPr>
          <w:lang w:val="es-ES"/>
        </w:rPr>
        <w:t xml:space="preserve"> </w:t>
      </w:r>
      <w:r w:rsidR="00CB0BB4" w:rsidRPr="007F4677">
        <w:rPr>
          <w:lang w:val="es-ES"/>
        </w:rPr>
        <w:t>visit</w:t>
      </w:r>
      <w:r w:rsidRPr="007F4677">
        <w:rPr>
          <w:lang w:val="es-ES"/>
        </w:rPr>
        <w:t>e</w:t>
      </w:r>
      <w:r w:rsidR="00CB0BB4" w:rsidRPr="007F4677">
        <w:rPr>
          <w:lang w:val="es-ES"/>
        </w:rPr>
        <w:t xml:space="preserve"> </w:t>
      </w:r>
      <w:hyperlink r:id="rId7">
        <w:r w:rsidR="00CB0BB4" w:rsidRPr="007F4677">
          <w:rPr>
            <w:color w:val="0000FF"/>
            <w:u w:val="single" w:color="0000FF"/>
            <w:lang w:val="es-ES"/>
          </w:rPr>
          <w:t xml:space="preserve">www.businessinthornton.com </w:t>
        </w:r>
      </w:hyperlink>
      <w:r w:rsidRPr="007F4677">
        <w:rPr>
          <w:lang w:val="es-ES"/>
        </w:rPr>
        <w:t xml:space="preserve"> </w:t>
      </w:r>
      <w:r w:rsidRPr="007F4677">
        <w:rPr>
          <w:lang w:val="es-ES"/>
        </w:rPr>
        <w:t>en Apoyo a empresas locales.</w:t>
      </w:r>
      <w:r w:rsidRPr="007F4677">
        <w:rPr>
          <w:lang w:val="es-ES"/>
        </w:rPr>
        <w:t xml:space="preserve">  </w:t>
      </w:r>
    </w:p>
    <w:p w14:paraId="6D52A8A6" w14:textId="5BD37560" w:rsidR="00323A68" w:rsidRPr="007F4677" w:rsidRDefault="00155748" w:rsidP="00155748">
      <w:pPr>
        <w:spacing w:before="93"/>
        <w:ind w:right="1277"/>
        <w:rPr>
          <w:b/>
          <w:lang w:val="es-ES"/>
        </w:rPr>
      </w:pPr>
      <w:r w:rsidRPr="007F4677">
        <w:rPr>
          <w:b/>
          <w:lang w:val="es-ES"/>
        </w:rPr>
        <w:t xml:space="preserve">Si tiene preguntas o necesita ayuda, comuníquese con el Centro de </w:t>
      </w:r>
      <w:r w:rsidRPr="007F4677">
        <w:rPr>
          <w:b/>
          <w:lang w:val="es-ES"/>
        </w:rPr>
        <w:t>Alianza y A</w:t>
      </w:r>
      <w:r w:rsidRPr="007F4677">
        <w:rPr>
          <w:b/>
          <w:lang w:val="es-ES"/>
        </w:rPr>
        <w:t xml:space="preserve">sistencia </w:t>
      </w:r>
      <w:r w:rsidRPr="007F4677">
        <w:rPr>
          <w:b/>
          <w:lang w:val="es-ES"/>
        </w:rPr>
        <w:t>C</w:t>
      </w:r>
      <w:r w:rsidRPr="007F4677">
        <w:rPr>
          <w:b/>
          <w:lang w:val="es-ES"/>
        </w:rPr>
        <w:t>omercial al 720.674.3547 o</w:t>
      </w:r>
      <w:r w:rsidRPr="007F4677">
        <w:rPr>
          <w:b/>
          <w:lang w:val="es-ES"/>
        </w:rPr>
        <w:t xml:space="preserve"> </w:t>
      </w:r>
      <w:hyperlink r:id="rId8" w:history="1">
        <w:r w:rsidR="008448FB" w:rsidRPr="007F4677">
          <w:rPr>
            <w:rStyle w:val="Hyperlink"/>
            <w:b/>
            <w:lang w:val="es-ES"/>
          </w:rPr>
          <w:t>www.thealliancebusinesscenter.com</w:t>
        </w:r>
      </w:hyperlink>
      <w:r w:rsidR="008448FB" w:rsidRPr="007F4677">
        <w:rPr>
          <w:b/>
          <w:lang w:val="es-ES"/>
        </w:rPr>
        <w:t>.</w:t>
      </w:r>
      <w:r w:rsidR="002223F7" w:rsidRPr="007F4677">
        <w:rPr>
          <w:b/>
          <w:lang w:val="es-ES"/>
        </w:rPr>
        <w:t xml:space="preserve"> </w:t>
      </w:r>
    </w:p>
    <w:sectPr w:rsidR="00323A68" w:rsidRPr="007F4677" w:rsidSect="00084B7B">
      <w:type w:val="continuous"/>
      <w:pgSz w:w="12240" w:h="15840"/>
      <w:pgMar w:top="400" w:right="270" w:bottom="2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7FC"/>
    <w:multiLevelType w:val="hybridMultilevel"/>
    <w:tmpl w:val="E7EAC0DE"/>
    <w:lvl w:ilvl="0" w:tplc="FFFFFFFF">
      <w:numFmt w:val="bullet"/>
      <w:lvlText w:val="o"/>
      <w:lvlJc w:val="left"/>
      <w:pPr>
        <w:ind w:left="720" w:hanging="360"/>
      </w:pPr>
      <w:rPr>
        <w:rFonts w:ascii="Courier New" w:eastAsia="Courier New" w:hAnsi="Courier New" w:cs="Courier New" w:hint="default"/>
        <w:w w:val="99"/>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403C8"/>
    <w:multiLevelType w:val="hybridMultilevel"/>
    <w:tmpl w:val="69B6F18E"/>
    <w:lvl w:ilvl="0" w:tplc="945E7842">
      <w:numFmt w:val="bullet"/>
      <w:lvlText w:val="◻"/>
      <w:lvlJc w:val="left"/>
      <w:pPr>
        <w:ind w:left="922" w:hanging="361"/>
      </w:pPr>
      <w:rPr>
        <w:rFonts w:ascii="Symbol" w:eastAsia="Symbol" w:hAnsi="Symbol" w:cs="Symbol" w:hint="default"/>
        <w:w w:val="100"/>
        <w:sz w:val="20"/>
        <w:szCs w:val="20"/>
      </w:rPr>
    </w:lvl>
    <w:lvl w:ilvl="1" w:tplc="F99EE4B8">
      <w:numFmt w:val="bullet"/>
      <w:lvlText w:val="•"/>
      <w:lvlJc w:val="left"/>
      <w:pPr>
        <w:ind w:left="1988" w:hanging="361"/>
      </w:pPr>
      <w:rPr>
        <w:rFonts w:hint="default"/>
      </w:rPr>
    </w:lvl>
    <w:lvl w:ilvl="2" w:tplc="F4BC6452">
      <w:numFmt w:val="bullet"/>
      <w:lvlText w:val="•"/>
      <w:lvlJc w:val="left"/>
      <w:pPr>
        <w:ind w:left="3056" w:hanging="361"/>
      </w:pPr>
      <w:rPr>
        <w:rFonts w:hint="default"/>
      </w:rPr>
    </w:lvl>
    <w:lvl w:ilvl="3" w:tplc="0CBCCB56">
      <w:numFmt w:val="bullet"/>
      <w:lvlText w:val="•"/>
      <w:lvlJc w:val="left"/>
      <w:pPr>
        <w:ind w:left="4124" w:hanging="361"/>
      </w:pPr>
      <w:rPr>
        <w:rFonts w:hint="default"/>
      </w:rPr>
    </w:lvl>
    <w:lvl w:ilvl="4" w:tplc="36B089C0">
      <w:numFmt w:val="bullet"/>
      <w:lvlText w:val="•"/>
      <w:lvlJc w:val="left"/>
      <w:pPr>
        <w:ind w:left="5192" w:hanging="361"/>
      </w:pPr>
      <w:rPr>
        <w:rFonts w:hint="default"/>
      </w:rPr>
    </w:lvl>
    <w:lvl w:ilvl="5" w:tplc="EC3672A6">
      <w:numFmt w:val="bullet"/>
      <w:lvlText w:val="•"/>
      <w:lvlJc w:val="left"/>
      <w:pPr>
        <w:ind w:left="6260" w:hanging="361"/>
      </w:pPr>
      <w:rPr>
        <w:rFonts w:hint="default"/>
      </w:rPr>
    </w:lvl>
    <w:lvl w:ilvl="6" w:tplc="B8481C5E">
      <w:numFmt w:val="bullet"/>
      <w:lvlText w:val="•"/>
      <w:lvlJc w:val="left"/>
      <w:pPr>
        <w:ind w:left="7328" w:hanging="361"/>
      </w:pPr>
      <w:rPr>
        <w:rFonts w:hint="default"/>
      </w:rPr>
    </w:lvl>
    <w:lvl w:ilvl="7" w:tplc="8C5C2CB6">
      <w:numFmt w:val="bullet"/>
      <w:lvlText w:val="•"/>
      <w:lvlJc w:val="left"/>
      <w:pPr>
        <w:ind w:left="8396" w:hanging="361"/>
      </w:pPr>
      <w:rPr>
        <w:rFonts w:hint="default"/>
      </w:rPr>
    </w:lvl>
    <w:lvl w:ilvl="8" w:tplc="911C7F7C">
      <w:numFmt w:val="bullet"/>
      <w:lvlText w:val="•"/>
      <w:lvlJc w:val="left"/>
      <w:pPr>
        <w:ind w:left="9464" w:hanging="361"/>
      </w:pPr>
      <w:rPr>
        <w:rFonts w:hint="default"/>
      </w:rPr>
    </w:lvl>
  </w:abstractNum>
  <w:abstractNum w:abstractNumId="2" w15:restartNumberingAfterBreak="0">
    <w:nsid w:val="113F3E71"/>
    <w:multiLevelType w:val="hybridMultilevel"/>
    <w:tmpl w:val="8DEAD3E8"/>
    <w:lvl w:ilvl="0" w:tplc="50AAE852">
      <w:numFmt w:val="bullet"/>
      <w:lvlText w:val="o"/>
      <w:lvlJc w:val="left"/>
      <w:pPr>
        <w:ind w:left="720" w:hanging="360"/>
      </w:pPr>
      <w:rPr>
        <w:rFonts w:ascii="Courier New" w:eastAsia="Courier New" w:hAnsi="Courier New" w:cs="Courier New"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4271C"/>
    <w:multiLevelType w:val="hybridMultilevel"/>
    <w:tmpl w:val="0E9608A0"/>
    <w:lvl w:ilvl="0" w:tplc="04090003">
      <w:start w:val="1"/>
      <w:numFmt w:val="bullet"/>
      <w:lvlText w:val="o"/>
      <w:lvlJc w:val="left"/>
      <w:pPr>
        <w:ind w:left="1642" w:hanging="360"/>
      </w:pPr>
      <w:rPr>
        <w:rFonts w:ascii="Courier New" w:hAnsi="Courier New" w:cs="Courier New" w:hint="default"/>
      </w:rPr>
    </w:lvl>
    <w:lvl w:ilvl="1" w:tplc="04090003" w:tentative="1">
      <w:start w:val="1"/>
      <w:numFmt w:val="bullet"/>
      <w:lvlText w:val="o"/>
      <w:lvlJc w:val="left"/>
      <w:pPr>
        <w:ind w:left="2362" w:hanging="360"/>
      </w:pPr>
      <w:rPr>
        <w:rFonts w:ascii="Courier New" w:hAnsi="Courier New" w:cs="Courier New" w:hint="default"/>
      </w:rPr>
    </w:lvl>
    <w:lvl w:ilvl="2" w:tplc="04090005">
      <w:start w:val="1"/>
      <w:numFmt w:val="bullet"/>
      <w:lvlText w:val=""/>
      <w:lvlJc w:val="left"/>
      <w:pPr>
        <w:ind w:left="3082" w:hanging="360"/>
      </w:pPr>
      <w:rPr>
        <w:rFonts w:ascii="Wingdings" w:hAnsi="Wingdings" w:hint="default"/>
      </w:rPr>
    </w:lvl>
    <w:lvl w:ilvl="3" w:tplc="0409000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4" w15:restartNumberingAfterBreak="0">
    <w:nsid w:val="32052A6B"/>
    <w:multiLevelType w:val="hybridMultilevel"/>
    <w:tmpl w:val="C4128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65D6"/>
    <w:multiLevelType w:val="hybridMultilevel"/>
    <w:tmpl w:val="19D2FE22"/>
    <w:lvl w:ilvl="0" w:tplc="0486EB80">
      <w:start w:val="1"/>
      <w:numFmt w:val="decimal"/>
      <w:lvlText w:val="%1)"/>
      <w:lvlJc w:val="left"/>
      <w:pPr>
        <w:ind w:left="832" w:hanging="361"/>
      </w:pPr>
      <w:rPr>
        <w:rFonts w:hint="default"/>
        <w:spacing w:val="-1"/>
        <w:w w:val="100"/>
      </w:rPr>
    </w:lvl>
    <w:lvl w:ilvl="1" w:tplc="1662EF78">
      <w:numFmt w:val="bullet"/>
      <w:lvlText w:val="•"/>
      <w:lvlJc w:val="left"/>
      <w:pPr>
        <w:ind w:left="1916" w:hanging="361"/>
      </w:pPr>
      <w:rPr>
        <w:rFonts w:hint="default"/>
      </w:rPr>
    </w:lvl>
    <w:lvl w:ilvl="2" w:tplc="7164916A">
      <w:numFmt w:val="bullet"/>
      <w:lvlText w:val="•"/>
      <w:lvlJc w:val="left"/>
      <w:pPr>
        <w:ind w:left="2992" w:hanging="361"/>
      </w:pPr>
      <w:rPr>
        <w:rFonts w:hint="default"/>
      </w:rPr>
    </w:lvl>
    <w:lvl w:ilvl="3" w:tplc="0868DB6A">
      <w:numFmt w:val="bullet"/>
      <w:lvlText w:val="•"/>
      <w:lvlJc w:val="left"/>
      <w:pPr>
        <w:ind w:left="4068" w:hanging="361"/>
      </w:pPr>
      <w:rPr>
        <w:rFonts w:hint="default"/>
      </w:rPr>
    </w:lvl>
    <w:lvl w:ilvl="4" w:tplc="FB1C2CBA">
      <w:numFmt w:val="bullet"/>
      <w:lvlText w:val="•"/>
      <w:lvlJc w:val="left"/>
      <w:pPr>
        <w:ind w:left="5144" w:hanging="361"/>
      </w:pPr>
      <w:rPr>
        <w:rFonts w:hint="default"/>
      </w:rPr>
    </w:lvl>
    <w:lvl w:ilvl="5" w:tplc="20164856">
      <w:numFmt w:val="bullet"/>
      <w:lvlText w:val="•"/>
      <w:lvlJc w:val="left"/>
      <w:pPr>
        <w:ind w:left="6220" w:hanging="361"/>
      </w:pPr>
      <w:rPr>
        <w:rFonts w:hint="default"/>
      </w:rPr>
    </w:lvl>
    <w:lvl w:ilvl="6" w:tplc="57AE3020">
      <w:numFmt w:val="bullet"/>
      <w:lvlText w:val="•"/>
      <w:lvlJc w:val="left"/>
      <w:pPr>
        <w:ind w:left="7296" w:hanging="361"/>
      </w:pPr>
      <w:rPr>
        <w:rFonts w:hint="default"/>
      </w:rPr>
    </w:lvl>
    <w:lvl w:ilvl="7" w:tplc="C1428E8A">
      <w:numFmt w:val="bullet"/>
      <w:lvlText w:val="•"/>
      <w:lvlJc w:val="left"/>
      <w:pPr>
        <w:ind w:left="8372" w:hanging="361"/>
      </w:pPr>
      <w:rPr>
        <w:rFonts w:hint="default"/>
      </w:rPr>
    </w:lvl>
    <w:lvl w:ilvl="8" w:tplc="EE4C8B2C">
      <w:numFmt w:val="bullet"/>
      <w:lvlText w:val="•"/>
      <w:lvlJc w:val="left"/>
      <w:pPr>
        <w:ind w:left="9448" w:hanging="361"/>
      </w:pPr>
      <w:rPr>
        <w:rFonts w:hint="default"/>
      </w:rPr>
    </w:lvl>
  </w:abstractNum>
  <w:abstractNum w:abstractNumId="6" w15:restartNumberingAfterBreak="0">
    <w:nsid w:val="33BE2F0A"/>
    <w:multiLevelType w:val="hybridMultilevel"/>
    <w:tmpl w:val="9E22E824"/>
    <w:lvl w:ilvl="0" w:tplc="4A4A7A6A">
      <w:start w:val="1"/>
      <w:numFmt w:val="decimal"/>
      <w:lvlText w:val="%1)"/>
      <w:lvlJc w:val="left"/>
      <w:pPr>
        <w:ind w:left="832" w:hanging="361"/>
      </w:pPr>
      <w:rPr>
        <w:rFonts w:ascii="Arial" w:eastAsia="Arial" w:hAnsi="Arial" w:cs="Arial" w:hint="default"/>
        <w:spacing w:val="-1"/>
        <w:w w:val="100"/>
        <w:sz w:val="20"/>
        <w:szCs w:val="20"/>
      </w:rPr>
    </w:lvl>
    <w:lvl w:ilvl="1" w:tplc="C8F87BAE">
      <w:numFmt w:val="bullet"/>
      <w:lvlText w:val="•"/>
      <w:lvlJc w:val="left"/>
      <w:pPr>
        <w:ind w:left="1916" w:hanging="361"/>
      </w:pPr>
      <w:rPr>
        <w:rFonts w:hint="default"/>
      </w:rPr>
    </w:lvl>
    <w:lvl w:ilvl="2" w:tplc="23EEA85A">
      <w:numFmt w:val="bullet"/>
      <w:lvlText w:val="•"/>
      <w:lvlJc w:val="left"/>
      <w:pPr>
        <w:ind w:left="2992" w:hanging="361"/>
      </w:pPr>
      <w:rPr>
        <w:rFonts w:hint="default"/>
      </w:rPr>
    </w:lvl>
    <w:lvl w:ilvl="3" w:tplc="FE2A5BAE">
      <w:numFmt w:val="bullet"/>
      <w:lvlText w:val="•"/>
      <w:lvlJc w:val="left"/>
      <w:pPr>
        <w:ind w:left="4068" w:hanging="361"/>
      </w:pPr>
      <w:rPr>
        <w:rFonts w:hint="default"/>
      </w:rPr>
    </w:lvl>
    <w:lvl w:ilvl="4" w:tplc="89B0B97E">
      <w:numFmt w:val="bullet"/>
      <w:lvlText w:val="•"/>
      <w:lvlJc w:val="left"/>
      <w:pPr>
        <w:ind w:left="5144" w:hanging="361"/>
      </w:pPr>
      <w:rPr>
        <w:rFonts w:hint="default"/>
      </w:rPr>
    </w:lvl>
    <w:lvl w:ilvl="5" w:tplc="BBEC05BE">
      <w:numFmt w:val="bullet"/>
      <w:lvlText w:val="•"/>
      <w:lvlJc w:val="left"/>
      <w:pPr>
        <w:ind w:left="6220" w:hanging="361"/>
      </w:pPr>
      <w:rPr>
        <w:rFonts w:hint="default"/>
      </w:rPr>
    </w:lvl>
    <w:lvl w:ilvl="6" w:tplc="9C8E68A6">
      <w:numFmt w:val="bullet"/>
      <w:lvlText w:val="•"/>
      <w:lvlJc w:val="left"/>
      <w:pPr>
        <w:ind w:left="7296" w:hanging="361"/>
      </w:pPr>
      <w:rPr>
        <w:rFonts w:hint="default"/>
      </w:rPr>
    </w:lvl>
    <w:lvl w:ilvl="7" w:tplc="2EEC6DE8">
      <w:numFmt w:val="bullet"/>
      <w:lvlText w:val="•"/>
      <w:lvlJc w:val="left"/>
      <w:pPr>
        <w:ind w:left="8372" w:hanging="361"/>
      </w:pPr>
      <w:rPr>
        <w:rFonts w:hint="default"/>
      </w:rPr>
    </w:lvl>
    <w:lvl w:ilvl="8" w:tplc="D22EDA2A">
      <w:numFmt w:val="bullet"/>
      <w:lvlText w:val="•"/>
      <w:lvlJc w:val="left"/>
      <w:pPr>
        <w:ind w:left="9448" w:hanging="361"/>
      </w:pPr>
      <w:rPr>
        <w:rFonts w:hint="default"/>
      </w:rPr>
    </w:lvl>
  </w:abstractNum>
  <w:abstractNum w:abstractNumId="7" w15:restartNumberingAfterBreak="0">
    <w:nsid w:val="415B0FF2"/>
    <w:multiLevelType w:val="hybridMultilevel"/>
    <w:tmpl w:val="F0EE9270"/>
    <w:lvl w:ilvl="0" w:tplc="57E8F62E">
      <w:start w:val="1"/>
      <w:numFmt w:val="decimal"/>
      <w:lvlText w:val="%1)"/>
      <w:lvlJc w:val="left"/>
      <w:pPr>
        <w:ind w:left="832" w:hanging="360"/>
      </w:pPr>
      <w:rPr>
        <w:rFonts w:ascii="Arial" w:eastAsia="Arial" w:hAnsi="Arial" w:cs="Arial" w:hint="default"/>
        <w:spacing w:val="-1"/>
        <w:w w:val="100"/>
        <w:sz w:val="20"/>
        <w:szCs w:val="20"/>
      </w:rPr>
    </w:lvl>
    <w:lvl w:ilvl="1" w:tplc="016CEF0A">
      <w:numFmt w:val="bullet"/>
      <w:lvlText w:val="◻"/>
      <w:lvlJc w:val="left"/>
      <w:pPr>
        <w:ind w:left="922" w:hanging="361"/>
      </w:pPr>
      <w:rPr>
        <w:rFonts w:ascii="Symbol" w:eastAsia="Symbol" w:hAnsi="Symbol" w:cs="Symbol" w:hint="default"/>
        <w:w w:val="100"/>
        <w:sz w:val="20"/>
        <w:szCs w:val="20"/>
      </w:rPr>
    </w:lvl>
    <w:lvl w:ilvl="2" w:tplc="DD6046C0">
      <w:numFmt w:val="bullet"/>
      <w:lvlText w:val="•"/>
      <w:lvlJc w:val="left"/>
      <w:pPr>
        <w:ind w:left="2106" w:hanging="361"/>
      </w:pPr>
      <w:rPr>
        <w:rFonts w:hint="default"/>
      </w:rPr>
    </w:lvl>
    <w:lvl w:ilvl="3" w:tplc="836063C8">
      <w:numFmt w:val="bullet"/>
      <w:lvlText w:val="•"/>
      <w:lvlJc w:val="left"/>
      <w:pPr>
        <w:ind w:left="3293" w:hanging="361"/>
      </w:pPr>
      <w:rPr>
        <w:rFonts w:hint="default"/>
      </w:rPr>
    </w:lvl>
    <w:lvl w:ilvl="4" w:tplc="8EE8071A">
      <w:numFmt w:val="bullet"/>
      <w:lvlText w:val="•"/>
      <w:lvlJc w:val="left"/>
      <w:pPr>
        <w:ind w:left="4480" w:hanging="361"/>
      </w:pPr>
      <w:rPr>
        <w:rFonts w:hint="default"/>
      </w:rPr>
    </w:lvl>
    <w:lvl w:ilvl="5" w:tplc="BB5AF1F4">
      <w:numFmt w:val="bullet"/>
      <w:lvlText w:val="•"/>
      <w:lvlJc w:val="left"/>
      <w:pPr>
        <w:ind w:left="5666" w:hanging="361"/>
      </w:pPr>
      <w:rPr>
        <w:rFonts w:hint="default"/>
      </w:rPr>
    </w:lvl>
    <w:lvl w:ilvl="6" w:tplc="D8C4961E">
      <w:numFmt w:val="bullet"/>
      <w:lvlText w:val="•"/>
      <w:lvlJc w:val="left"/>
      <w:pPr>
        <w:ind w:left="6853" w:hanging="361"/>
      </w:pPr>
      <w:rPr>
        <w:rFonts w:hint="default"/>
      </w:rPr>
    </w:lvl>
    <w:lvl w:ilvl="7" w:tplc="80BACE06">
      <w:numFmt w:val="bullet"/>
      <w:lvlText w:val="•"/>
      <w:lvlJc w:val="left"/>
      <w:pPr>
        <w:ind w:left="8040" w:hanging="361"/>
      </w:pPr>
      <w:rPr>
        <w:rFonts w:hint="default"/>
      </w:rPr>
    </w:lvl>
    <w:lvl w:ilvl="8" w:tplc="5F0A93CC">
      <w:numFmt w:val="bullet"/>
      <w:lvlText w:val="•"/>
      <w:lvlJc w:val="left"/>
      <w:pPr>
        <w:ind w:left="9226" w:hanging="361"/>
      </w:pPr>
      <w:rPr>
        <w:rFonts w:hint="default"/>
      </w:rPr>
    </w:lvl>
  </w:abstractNum>
  <w:abstractNum w:abstractNumId="8" w15:restartNumberingAfterBreak="0">
    <w:nsid w:val="55026958"/>
    <w:multiLevelType w:val="hybridMultilevel"/>
    <w:tmpl w:val="E77AE7A4"/>
    <w:lvl w:ilvl="0" w:tplc="093A38E4">
      <w:start w:val="1"/>
      <w:numFmt w:val="decimal"/>
      <w:lvlText w:val="%1)"/>
      <w:lvlJc w:val="left"/>
      <w:pPr>
        <w:ind w:left="832" w:hanging="360"/>
      </w:pPr>
      <w:rPr>
        <w:rFonts w:hint="default"/>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9" w15:restartNumberingAfterBreak="0">
    <w:nsid w:val="681A03F3"/>
    <w:multiLevelType w:val="hybridMultilevel"/>
    <w:tmpl w:val="54B03D36"/>
    <w:lvl w:ilvl="0" w:tplc="016CEF0A">
      <w:numFmt w:val="bullet"/>
      <w:lvlText w:val="◻"/>
      <w:lvlJc w:val="left"/>
      <w:pPr>
        <w:ind w:left="922" w:hanging="360"/>
      </w:pPr>
      <w:rPr>
        <w:rFonts w:ascii="Symbol" w:eastAsia="Symbol" w:hAnsi="Symbol" w:cs="Symbol" w:hint="default"/>
        <w:w w:val="100"/>
        <w:sz w:val="20"/>
        <w:szCs w:val="20"/>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6C0E35E7"/>
    <w:multiLevelType w:val="hybridMultilevel"/>
    <w:tmpl w:val="45C04CBC"/>
    <w:lvl w:ilvl="0" w:tplc="FFFFFFFF">
      <w:numFmt w:val="bullet"/>
      <w:lvlText w:val="o"/>
      <w:lvlJc w:val="left"/>
      <w:pPr>
        <w:ind w:left="720" w:hanging="360"/>
      </w:pPr>
      <w:rPr>
        <w:rFonts w:ascii="Courier New" w:eastAsia="Courier New" w:hAnsi="Courier New" w:cs="Courier New" w:hint="default"/>
        <w:w w:val="99"/>
        <w:sz w:val="22"/>
        <w:szCs w:val="22"/>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5812CD0"/>
    <w:multiLevelType w:val="hybridMultilevel"/>
    <w:tmpl w:val="16D0A366"/>
    <w:lvl w:ilvl="0" w:tplc="FFFFFFFF">
      <w:numFmt w:val="bullet"/>
      <w:lvlText w:val="o"/>
      <w:lvlJc w:val="left"/>
      <w:pPr>
        <w:ind w:left="720" w:hanging="360"/>
      </w:pPr>
      <w:rPr>
        <w:rFonts w:ascii="Courier New" w:eastAsia="Courier New" w:hAnsi="Courier New" w:cs="Courier New" w:hint="default"/>
        <w:w w:val="99"/>
        <w:sz w:val="22"/>
        <w:szCs w:val="22"/>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642"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302C7A"/>
    <w:multiLevelType w:val="hybridMultilevel"/>
    <w:tmpl w:val="128CC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11F92"/>
    <w:multiLevelType w:val="hybridMultilevel"/>
    <w:tmpl w:val="D604F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779293">
    <w:abstractNumId w:val="5"/>
  </w:num>
  <w:num w:numId="2" w16cid:durableId="1935741531">
    <w:abstractNumId w:val="7"/>
  </w:num>
  <w:num w:numId="3" w16cid:durableId="60566593">
    <w:abstractNumId w:val="6"/>
  </w:num>
  <w:num w:numId="4" w16cid:durableId="1761564866">
    <w:abstractNumId w:val="1"/>
  </w:num>
  <w:num w:numId="5" w16cid:durableId="1149906767">
    <w:abstractNumId w:val="9"/>
  </w:num>
  <w:num w:numId="6" w16cid:durableId="32194344">
    <w:abstractNumId w:val="3"/>
  </w:num>
  <w:num w:numId="7" w16cid:durableId="1247036984">
    <w:abstractNumId w:val="2"/>
  </w:num>
  <w:num w:numId="8" w16cid:durableId="1432049966">
    <w:abstractNumId w:val="11"/>
  </w:num>
  <w:num w:numId="9" w16cid:durableId="231932855">
    <w:abstractNumId w:val="10"/>
  </w:num>
  <w:num w:numId="10" w16cid:durableId="173082693">
    <w:abstractNumId w:val="0"/>
  </w:num>
  <w:num w:numId="11" w16cid:durableId="939024686">
    <w:abstractNumId w:val="13"/>
  </w:num>
  <w:num w:numId="12" w16cid:durableId="936718021">
    <w:abstractNumId w:val="8"/>
  </w:num>
  <w:num w:numId="13" w16cid:durableId="1290362071">
    <w:abstractNumId w:val="12"/>
  </w:num>
  <w:num w:numId="14" w16cid:durableId="882718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68"/>
    <w:rsid w:val="00003869"/>
    <w:rsid w:val="00084B7B"/>
    <w:rsid w:val="001105C5"/>
    <w:rsid w:val="00155748"/>
    <w:rsid w:val="00177839"/>
    <w:rsid w:val="001A5DCC"/>
    <w:rsid w:val="002223F7"/>
    <w:rsid w:val="0024158A"/>
    <w:rsid w:val="00267C75"/>
    <w:rsid w:val="002729C2"/>
    <w:rsid w:val="002A02C7"/>
    <w:rsid w:val="002C0E83"/>
    <w:rsid w:val="002F57EB"/>
    <w:rsid w:val="00323A68"/>
    <w:rsid w:val="0039144B"/>
    <w:rsid w:val="004D0743"/>
    <w:rsid w:val="004E3DDA"/>
    <w:rsid w:val="00547AD7"/>
    <w:rsid w:val="005C16E4"/>
    <w:rsid w:val="005F1446"/>
    <w:rsid w:val="005F7580"/>
    <w:rsid w:val="006A4888"/>
    <w:rsid w:val="006E6487"/>
    <w:rsid w:val="00701B87"/>
    <w:rsid w:val="007F4677"/>
    <w:rsid w:val="00802126"/>
    <w:rsid w:val="008448FB"/>
    <w:rsid w:val="00863078"/>
    <w:rsid w:val="00A13473"/>
    <w:rsid w:val="00A235C7"/>
    <w:rsid w:val="00A45AEA"/>
    <w:rsid w:val="00A501C4"/>
    <w:rsid w:val="00AB7135"/>
    <w:rsid w:val="00AC271C"/>
    <w:rsid w:val="00BD0C48"/>
    <w:rsid w:val="00C36928"/>
    <w:rsid w:val="00C7492B"/>
    <w:rsid w:val="00C8058C"/>
    <w:rsid w:val="00CB0791"/>
    <w:rsid w:val="00CB0BB4"/>
    <w:rsid w:val="00E634DE"/>
    <w:rsid w:val="00EF3215"/>
    <w:rsid w:val="00F03AE5"/>
    <w:rsid w:val="00F41590"/>
    <w:rsid w:val="00F5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34DB"/>
  <w15:docId w15:val="{601C6448-F934-4F3E-9B85-B16ADCFC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52" w:lineRule="exact"/>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sz w:val="20"/>
      <w:szCs w:val="20"/>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Revision">
    <w:name w:val="Revision"/>
    <w:hidden/>
    <w:uiPriority w:val="99"/>
    <w:semiHidden/>
    <w:rsid w:val="004D0743"/>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4D0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43"/>
    <w:rPr>
      <w:rFonts w:ascii="Segoe UI" w:eastAsia="Arial" w:hAnsi="Segoe UI" w:cs="Segoe UI"/>
      <w:sz w:val="18"/>
      <w:szCs w:val="18"/>
    </w:rPr>
  </w:style>
  <w:style w:type="character" w:styleId="Hyperlink">
    <w:name w:val="Hyperlink"/>
    <w:basedOn w:val="DefaultParagraphFont"/>
    <w:uiPriority w:val="99"/>
    <w:unhideWhenUsed/>
    <w:rsid w:val="00003869"/>
    <w:rPr>
      <w:color w:val="0000FF" w:themeColor="hyperlink"/>
      <w:u w:val="single"/>
    </w:rPr>
  </w:style>
  <w:style w:type="character" w:styleId="UnresolvedMention">
    <w:name w:val="Unresolved Mention"/>
    <w:basedOn w:val="DefaultParagraphFont"/>
    <w:uiPriority w:val="99"/>
    <w:semiHidden/>
    <w:unhideWhenUsed/>
    <w:rsid w:val="00267C75"/>
    <w:rPr>
      <w:color w:val="605E5C"/>
      <w:shd w:val="clear" w:color="auto" w:fill="E1DFDD"/>
    </w:rPr>
  </w:style>
  <w:style w:type="character" w:styleId="FollowedHyperlink">
    <w:name w:val="FollowedHyperlink"/>
    <w:basedOn w:val="DefaultParagraphFont"/>
    <w:uiPriority w:val="99"/>
    <w:semiHidden/>
    <w:unhideWhenUsed/>
    <w:rsid w:val="00F41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7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alliancebusinesscenter.com" TargetMode="External"/><Relationship Id="rId3" Type="http://schemas.openxmlformats.org/officeDocument/2006/relationships/styles" Target="styles.xml"/><Relationship Id="rId7" Type="http://schemas.openxmlformats.org/officeDocument/2006/relationships/hyperlink" Target="http://www.businessinthorn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thornton.net/government/citydevelopment/Pages/contractor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7D02-37B9-4159-936E-B0C7DC7C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- 2018 BUSINESS IMPROVEMENT GRANT - info &amp; requirements - for web</vt:lpstr>
    </vt:vector>
  </TitlesOfParts>
  <Company>City of Thornton</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BUSINESS IMPROVEMENT GRANT - info &amp; requirements - for web</dc:title>
  <dc:creator>jleon</dc:creator>
  <cp:lastModifiedBy>Monica Josephson</cp:lastModifiedBy>
  <cp:revision>6</cp:revision>
  <dcterms:created xsi:type="dcterms:W3CDTF">2023-01-20T05:51:00Z</dcterms:created>
  <dcterms:modified xsi:type="dcterms:W3CDTF">2023-01-20T06:01:00Z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PScript5.dll Version 5.2.2</vt:lpwstr>
  </property>
  <property fmtid="{D5CDD505-2E9C-101B-9397-08002B2CF9AE}" pid="4" name="LastSaved">
    <vt:filetime>2018-10-23T00:00:00Z</vt:filetime>
  </property>
</Properties>
</file>